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6A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</w:p>
    <w:p w14:paraId="01DD36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 w14:paraId="6D66B3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2024年度非物质文化遗产课题研究选题范围</w:t>
      </w:r>
      <w:bookmarkEnd w:id="0"/>
    </w:p>
    <w:p w14:paraId="36549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 w14:paraId="24565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根据工作需要分类设置研究选题，其中一类选题为实践应用选题，二类选题为实践与理论相结合并凸显陕西特色的选题，结合申报情况原则上每个选题只立项资助1个团队开展相关研究，并视情况设置若干自筹经费课题。具体选题指南如下。</w:t>
      </w:r>
    </w:p>
    <w:p w14:paraId="382CEA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val="en-US" w:eastAsia="zh-CN"/>
        </w:rPr>
        <w:t>（一）一类选题</w:t>
      </w:r>
    </w:p>
    <w:p w14:paraId="191B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陕西非遗“两创”政策转化与创新实践研究</w:t>
      </w:r>
    </w:p>
    <w:p w14:paraId="42C07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陕西非遗知识产权保护体系与成果转换机制研究</w:t>
      </w:r>
    </w:p>
    <w:p w14:paraId="171C6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陕西非遗文化、技艺与现代科技交叉融合研究</w:t>
      </w:r>
    </w:p>
    <w:p w14:paraId="635FF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高质量发展导向下陕西非遗保护传承弘扬路径研究</w:t>
      </w:r>
    </w:p>
    <w:p w14:paraId="73CCA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陕西非遗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代表性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新生代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传承人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文创化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传承发展模式研究</w:t>
      </w:r>
    </w:p>
    <w:p w14:paraId="03D80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6.建立健全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非遗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保护领域财税支持政策研究</w:t>
      </w:r>
    </w:p>
    <w:p w14:paraId="721A4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.陕西非遗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保护人才队伍建设研究</w:t>
      </w:r>
    </w:p>
    <w:p w14:paraId="11DC0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8.非遗工坊产业化、市场化能力提升研究</w:t>
      </w:r>
    </w:p>
    <w:p w14:paraId="3AC4A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9.进一步落实各级政府保护传承弘扬非遗的主体责任研究</w:t>
      </w:r>
    </w:p>
    <w:p w14:paraId="3EDDF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10.陕西非遗进商场、进社区、进学校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等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的制度建设研究</w:t>
      </w:r>
    </w:p>
    <w:p w14:paraId="500FB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11.非遗名录全链条全环节管理体制机制优化研究</w:t>
      </w:r>
    </w:p>
    <w:p w14:paraId="41873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12.有序促进民间资本和社会力量参与非遗保护传承工作机制研究</w:t>
      </w:r>
    </w:p>
    <w:p w14:paraId="5A5A0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13.非遗和旅游深度融合发展的路径与机制研究</w:t>
      </w:r>
    </w:p>
    <w:p w14:paraId="388F8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14.陕西“十五五”非遗保护传承弘扬远景展望与重点工作研究</w:t>
      </w:r>
    </w:p>
    <w:p w14:paraId="34B339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val="en-US" w:eastAsia="zh-CN"/>
        </w:rPr>
        <w:t>（二）二类选题</w:t>
      </w:r>
    </w:p>
    <w:p w14:paraId="20907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非遗在文旅融合中的角色定位与创新发展路径研究</w:t>
      </w:r>
    </w:p>
    <w:p w14:paraId="67860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陕西非遗教育传承立法保护路径研究</w:t>
      </w:r>
    </w:p>
    <w:p w14:paraId="11A4A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3.数字经济模式下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活化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”非遗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资源赋能乡村振兴策略研究</w:t>
      </w:r>
    </w:p>
    <w:p w14:paraId="5F84D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乡村振兴视域下非遗生产性保护基地助力文旅融合实践研究</w:t>
      </w:r>
    </w:p>
    <w:p w14:paraId="2BE09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非遗赋能乡村文化振兴范式构建及实践研究</w:t>
      </w:r>
    </w:p>
    <w:p w14:paraId="1EF06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6.数字赋能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陕西非遗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保护的方法与路径研究</w:t>
      </w:r>
    </w:p>
    <w:p w14:paraId="25828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文旅融合背景下陕西非遗空间功能延伸研究</w:t>
      </w:r>
    </w:p>
    <w:p w14:paraId="2F804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非遗主题旅游对陕西非遗项目的保护研究</w:t>
      </w:r>
    </w:p>
    <w:p w14:paraId="39D1D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陕西非遗资源保护、开发、利用策略研究</w:t>
      </w:r>
    </w:p>
    <w:p w14:paraId="0F2A8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新媒体视域下非遗传播研究</w:t>
      </w:r>
    </w:p>
    <w:p w14:paraId="4BD95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濒危非遗项目保护传承弘扬路径研究</w:t>
      </w:r>
    </w:p>
    <w:p w14:paraId="1C255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陕西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非遗资源融创学校课堂的实践研究</w:t>
      </w:r>
    </w:p>
    <w:p w14:paraId="6E2C7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13.大保护格局下构建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陕西特色非遗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体系研究</w:t>
      </w:r>
    </w:p>
    <w:p w14:paraId="7FB23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陕西非遗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保护利用的土地需求与供给保障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机制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研究</w:t>
      </w:r>
    </w:p>
    <w:p w14:paraId="0F572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15.非遗与交旅融合发展问题调查与对策研究</w:t>
      </w:r>
    </w:p>
    <w:p w14:paraId="6EDEA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16.我省非遗研学旅游市场供给优化策略研究</w:t>
      </w:r>
    </w:p>
    <w:p w14:paraId="524C8DA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247" w:left="1587" w:header="851" w:footer="850" w:gutter="0"/>
          <w:pgNumType w:fmt="numberInDash" w:start="2"/>
          <w:cols w:space="425" w:num="1"/>
          <w:docGrid w:type="lines" w:linePitch="312" w:charSpace="0"/>
        </w:sectPr>
      </w:pPr>
    </w:p>
    <w:p w14:paraId="252F0F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1D9846-5F4E-4082-9728-CDCE1D1B2A50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B9306D-2F6F-4D85-BAF7-5F1F969580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1395E48-5398-47E8-B005-CBC06F0FAF0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FE349D6-1C28-412D-B747-2439F2D8BDE2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5" w:fontKey="{C996DBAA-9C3F-4A1D-B2B9-36152C2205B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3831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5A30C2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5A30C2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70F66B4B"/>
    <w:rsid w:val="70F66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Times New Roman"/>
      <w:kern w:val="0"/>
      <w:szCs w:val="21"/>
    </w:rPr>
  </w:style>
  <w:style w:type="paragraph" w:styleId="3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 w:cs="Times New Roman"/>
      <w:sz w:val="21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2024-08-13T08:48:00Z</dcterms:created>
  <dc:creator>泽昊</dc:creator>
  <cp:lastModifiedBy>泽昊</cp:lastModifiedBy>
  <dcterms:modified xsi:type="dcterms:W3CDTF">2024-08-13T08:49:56Z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1CC6B0B3A96E4B37954B40D6DC8DBE6B_11</vt:lpwstr>
  </property>
</Properties>
</file>