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7BD8" w14:textId="4D7B5E22" w:rsidR="007B11A2" w:rsidRPr="007B11A2" w:rsidRDefault="007B11A2" w:rsidP="007B11A2">
      <w:pPr>
        <w:widowControl/>
        <w:spacing w:line="560" w:lineRule="exact"/>
        <w:ind w:right="692"/>
        <w:outlineLvl w:val="1"/>
        <w:rPr>
          <w:rFonts w:ascii="黑体" w:eastAsia="黑体" w:hAnsi="黑体" w:cs="黑体"/>
          <w:color w:val="000000"/>
          <w:sz w:val="32"/>
          <w:szCs w:val="32"/>
        </w:rPr>
      </w:pPr>
      <w:r w:rsidRPr="007B11A2">
        <w:rPr>
          <w:rFonts w:ascii="黑体" w:eastAsia="黑体" w:hAnsi="黑体" w:cs="黑体" w:hint="eastAsia"/>
          <w:color w:val="000000"/>
          <w:sz w:val="32"/>
          <w:szCs w:val="32"/>
        </w:rPr>
        <w:t>附件3</w:t>
      </w:r>
    </w:p>
    <w:p w14:paraId="3E6AFC96" w14:textId="77777777" w:rsidR="007B11A2" w:rsidRPr="007B11A2" w:rsidRDefault="007B11A2" w:rsidP="007B11A2">
      <w:pPr>
        <w:widowControl/>
        <w:spacing w:line="560" w:lineRule="exact"/>
        <w:ind w:left="692" w:right="692"/>
        <w:jc w:val="center"/>
        <w:outlineLvl w:val="1"/>
        <w:rPr>
          <w:rFonts w:ascii="方正小标宋简体" w:eastAsia="方正小标宋简体" w:hAnsi="方正小标宋简体" w:cs="方正小标宋简体"/>
          <w:color w:val="000000"/>
          <w:sz w:val="44"/>
          <w:szCs w:val="44"/>
        </w:rPr>
      </w:pPr>
      <w:r w:rsidRPr="007B11A2">
        <w:rPr>
          <w:rFonts w:ascii="方正小标宋简体" w:eastAsia="方正小标宋简体" w:hAnsi="方正小标宋简体" w:cs="方正小标宋简体" w:hint="eastAsia"/>
          <w:color w:val="000000"/>
          <w:sz w:val="44"/>
          <w:szCs w:val="44"/>
        </w:rPr>
        <w:t>202</w:t>
      </w:r>
      <w:r w:rsidRPr="007B11A2">
        <w:rPr>
          <w:rFonts w:ascii="方正小标宋简体" w:eastAsia="方正小标宋简体" w:hAnsi="方正小标宋简体" w:cs="方正小标宋简体"/>
          <w:color w:val="000000"/>
          <w:sz w:val="44"/>
          <w:szCs w:val="44"/>
        </w:rPr>
        <w:t>4</w:t>
      </w:r>
      <w:r w:rsidRPr="007B11A2">
        <w:rPr>
          <w:rFonts w:ascii="方正小标宋简体" w:eastAsia="方正小标宋简体" w:hAnsi="方正小标宋简体" w:cs="方正小标宋简体" w:hint="eastAsia"/>
          <w:color w:val="000000"/>
          <w:sz w:val="44"/>
          <w:szCs w:val="44"/>
        </w:rPr>
        <w:t>年度国家社会科学基金艺术学</w:t>
      </w:r>
    </w:p>
    <w:p w14:paraId="3997F5DA" w14:textId="10D71978" w:rsidR="007B11A2" w:rsidRDefault="007B11A2" w:rsidP="007B11A2">
      <w:pPr>
        <w:widowControl/>
        <w:spacing w:line="560" w:lineRule="exact"/>
        <w:ind w:left="692" w:right="692"/>
        <w:jc w:val="center"/>
        <w:outlineLvl w:val="1"/>
        <w:rPr>
          <w:rFonts w:ascii="方正小标宋简体" w:eastAsia="方正小标宋简体" w:hAnsi="方正小标宋简体" w:cs="方正小标宋简体"/>
          <w:color w:val="000000"/>
          <w:sz w:val="44"/>
          <w:szCs w:val="44"/>
        </w:rPr>
      </w:pPr>
      <w:r w:rsidRPr="007B11A2">
        <w:rPr>
          <w:rFonts w:ascii="方正小标宋简体" w:eastAsia="方正小标宋简体" w:hAnsi="方正小标宋简体" w:cs="方正小标宋简体" w:hint="eastAsia"/>
          <w:color w:val="000000"/>
          <w:sz w:val="44"/>
          <w:szCs w:val="44"/>
        </w:rPr>
        <w:t>重大项目招标公告</w:t>
      </w:r>
    </w:p>
    <w:p w14:paraId="2FCEC07D" w14:textId="77777777" w:rsidR="007B11A2" w:rsidRPr="007B11A2" w:rsidRDefault="007B11A2" w:rsidP="007B11A2">
      <w:pPr>
        <w:widowControl/>
        <w:spacing w:line="560" w:lineRule="exact"/>
        <w:ind w:left="692" w:right="692"/>
        <w:jc w:val="center"/>
        <w:outlineLvl w:val="1"/>
        <w:rPr>
          <w:rFonts w:ascii="方正小标宋简体" w:eastAsia="方正小标宋简体" w:hAnsi="方正小标宋简体" w:cs="方正小标宋简体"/>
          <w:color w:val="000000"/>
          <w:sz w:val="44"/>
          <w:szCs w:val="44"/>
        </w:rPr>
      </w:pPr>
    </w:p>
    <w:p w14:paraId="15BF71BB" w14:textId="77777777" w:rsidR="007B11A2" w:rsidRPr="007B11A2" w:rsidRDefault="007B11A2" w:rsidP="007B11A2">
      <w:pPr>
        <w:widowControl/>
        <w:shd w:val="clear" w:color="auto" w:fill="FFFFFF"/>
        <w:spacing w:line="560" w:lineRule="exact"/>
        <w:ind w:firstLineChars="200" w:firstLine="640"/>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经文化和旅游部和全国艺术科学规划领导小组批准，2024年度国家社科基金艺术学重大项目面向全国公开招标。现将有关事项公告如下：</w:t>
      </w:r>
    </w:p>
    <w:p w14:paraId="6C7ADBFC"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 xml:space="preserve">　一、招标单位</w:t>
      </w:r>
    </w:p>
    <w:p w14:paraId="4056569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全国艺术科学规划领导小组办公室</w:t>
      </w:r>
    </w:p>
    <w:p w14:paraId="4B43FAFA"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二、招标对象</w:t>
      </w:r>
    </w:p>
    <w:p w14:paraId="0A001DCB"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主要包括文化艺术和旅游领域重点研究机构、高等院校及社科研究机构等。投标要以单位名义进行，多单位联合投标须确定一个责任单位。鼓励跨地区、跨单位联合投标，鼓励理论工作部门与实际工作部门合作开展研究。</w:t>
      </w:r>
    </w:p>
    <w:p w14:paraId="4183A77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 xml:space="preserve">　三、招标工作总体要求</w:t>
      </w:r>
    </w:p>
    <w:p w14:paraId="72BCA5AB"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以习近平新时代中国特色社会主义思想为指导，全面贯彻落实党的二十大精神，深刻领悟习近平文化思想，深入实施《中共中央关于加快构建中国特色哲学社会科学的意见》，着眼于推进文化自信自强、促进新时代文化艺术高质量发展，切实发挥国家社科基金示范引导作用。着力加强中国特色艺术学学科体系、学术体系、话语体系建设，不断推出具有重大学术创新价值和文化传承意义的标志性研究成果，大力推进知识创新、理论创新、方法创新，推动文化艺术和旅游研</w:t>
      </w:r>
      <w:r w:rsidRPr="007B11A2">
        <w:rPr>
          <w:rFonts w:ascii="仿宋" w:eastAsia="仿宋" w:hAnsi="仿宋" w:cs="仿宋" w:hint="eastAsia"/>
          <w:color w:val="000000"/>
          <w:kern w:val="0"/>
          <w:sz w:val="32"/>
          <w:szCs w:val="32"/>
          <w:shd w:val="clear" w:color="auto" w:fill="FFFFFF"/>
        </w:rPr>
        <w:lastRenderedPageBreak/>
        <w:t>究为党和国家工作大局服务、为繁荣发展哲学社会科学服务、为文化艺术事业提供智力支持和理论支撑。</w:t>
      </w:r>
    </w:p>
    <w:p w14:paraId="4A2C93B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四、招标数量和资助额度</w:t>
      </w:r>
    </w:p>
    <w:p w14:paraId="2B2BEAC3"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2024年度共发布20个重大项目招标选题（见附件），每个招标选题原则上只确立1项中标课题。资助额度根据研究的实际需要确定，一般为每项60-80万元。</w:t>
      </w:r>
    </w:p>
    <w:p w14:paraId="4EDA0A6A"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 xml:space="preserve">　五、投标资格要求</w:t>
      </w:r>
    </w:p>
    <w:p w14:paraId="1DCE5A9A"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楷体" w:eastAsia="楷体" w:hAnsi="楷体" w:cs="楷体" w:hint="eastAsia"/>
          <w:color w:val="000000"/>
          <w:kern w:val="0"/>
          <w:sz w:val="32"/>
          <w:szCs w:val="32"/>
          <w:shd w:val="clear" w:color="auto" w:fill="FFFFFF"/>
        </w:rPr>
        <w:t xml:space="preserve">　（一）投标责任单位须具备下列条件：</w:t>
      </w:r>
    </w:p>
    <w:p w14:paraId="1076947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1.在文化艺术研究领域具有较强的科研力量和深厚的学术积累；</w:t>
      </w:r>
    </w:p>
    <w:p w14:paraId="302AA73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2.设有专门负责科研管理工作的职能部门；</w:t>
      </w:r>
    </w:p>
    <w:p w14:paraId="6F5DF133"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3.能够为开展重大项目研究工作提供良好条件。</w:t>
      </w:r>
    </w:p>
    <w:p w14:paraId="01FB13EA"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楷体" w:eastAsia="楷体" w:hAnsi="楷体" w:cs="楷体" w:hint="eastAsia"/>
          <w:color w:val="000000"/>
          <w:kern w:val="0"/>
          <w:sz w:val="32"/>
          <w:szCs w:val="32"/>
          <w:shd w:val="clear" w:color="auto" w:fill="FFFFFF"/>
        </w:rPr>
        <w:t>（二）投标课题组须具备下列条件：</w:t>
      </w:r>
    </w:p>
    <w:p w14:paraId="18379828"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1.遵守中华人民共和国宪法和法律，遵守国家社科基金各项管理规定；在相关研究领域具有深厚的学术造诣和丰富的科研经验，社会责任感强，学风优良；首席专家具有正高级专业技术职称或厅局级（含）以上领导职务，每个投标团队的首席专家只能为一人。</w:t>
      </w:r>
    </w:p>
    <w:p w14:paraId="27D4E717"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2.在研的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艺术学重大项目。</w:t>
      </w:r>
    </w:p>
    <w:p w14:paraId="2DB21C7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lastRenderedPageBreak/>
        <w:t xml:space="preserve">　　3.首席专家只能投标一个项目，且不能作为子课题负责人或课题组成员参与本次投标的其他项目。子课题负责人具有副高级（含）以上专业技术职称（职务）或者具有博士学位，在本次招标中只能参与一个投标项目，已担任2个在研的国家社科基金重大项目的子课题负责人不得参与本次投标。课题组成员最多参与两个投标项目。在研的国家社科基金重大项目、重大研究专项项目和教育部哲学社会科学研究重大课题攻关项目的负责人，不得作为子课题负责人参与本次投标。</w:t>
      </w:r>
    </w:p>
    <w:p w14:paraId="24FA190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4.首席专家对投标项目负统筹协调的首要责任，每年须举办至少2次核心人员（须含子课题负责人）研讨会或相关学术活动，首席专家及子课题负责人须承担实质性研究工作，原则上子课题负责人不得调整。</w:t>
      </w:r>
    </w:p>
    <w:p w14:paraId="299E222B"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5.文化和旅游部机关工作人员不能申请或者参与申请国家社科基金艺术学重大项目。</w:t>
      </w:r>
    </w:p>
    <w:p w14:paraId="32918731"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六、投标课题要求</w:t>
      </w:r>
    </w:p>
    <w:p w14:paraId="13FC25CA"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1.投标课题组须按2024年度发布的招标选题投标，自选课题不予受理。</w:t>
      </w:r>
    </w:p>
    <w:p w14:paraId="4B4278B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14:paraId="501D14FD" w14:textId="77777777" w:rsidR="007B11A2" w:rsidRPr="007B11A2" w:rsidRDefault="007B11A2" w:rsidP="007B11A2">
      <w:pPr>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3.投标课题组要熟知国内外相关领域研究前沿和动态，</w:t>
      </w:r>
      <w:r w:rsidRPr="007B11A2">
        <w:rPr>
          <w:rFonts w:ascii="仿宋" w:eastAsia="仿宋" w:hAnsi="仿宋" w:cs="仿宋" w:hint="eastAsia"/>
          <w:color w:val="000000"/>
          <w:kern w:val="0"/>
          <w:sz w:val="32"/>
          <w:szCs w:val="32"/>
          <w:shd w:val="clear" w:color="auto" w:fill="FFFFFF"/>
        </w:rPr>
        <w:lastRenderedPageBreak/>
        <w:t>具备扎实的研究基础和丰富的相关前期研究成果。除必要的学术史梳理或综述外，应着重阐明本课题设计相对于已有研究的独到学术价值、应用价值和社会意义。</w:t>
      </w:r>
    </w:p>
    <w:p w14:paraId="06BAFCF7"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4.投标课题组要树立鲜明的问题意识和创新意识，在框架设计、研究思路、主要内容、基本观点、研究方法等方面，体现创新的学术思想、独到的学术见解和可能取得的突破。</w:t>
      </w:r>
    </w:p>
    <w:p w14:paraId="4E87350B"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5.项目完成时间根据研究工作的实际需要确定，一般应在3-5年左右完成，以“*”标注选题研究周期不超过3年，不得延期。</w:t>
      </w:r>
    </w:p>
    <w:p w14:paraId="340AD25F"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6.预期研究成果的规模和数量应科学合理，确保质量和学术水准，多出精品力作，避免重复出版；最终成果为大型文献典籍整理、多卷本专著、系列丛书等形式的，应注意编纂体例的科学性和统一性。</w:t>
      </w:r>
    </w:p>
    <w:p w14:paraId="1E354527" w14:textId="77777777" w:rsidR="007B11A2" w:rsidRPr="007B11A2" w:rsidRDefault="007B11A2" w:rsidP="007B11A2">
      <w:pPr>
        <w:widowControl/>
        <w:shd w:val="clear" w:color="auto" w:fill="FFFFFF"/>
        <w:spacing w:line="560" w:lineRule="exact"/>
        <w:rPr>
          <w:rFonts w:ascii="黑体" w:eastAsia="黑体" w:hAnsi="黑体" w:cs="黑体"/>
          <w:color w:val="000000"/>
          <w:kern w:val="0"/>
          <w:sz w:val="32"/>
          <w:szCs w:val="32"/>
          <w:shd w:val="clear" w:color="auto" w:fill="FFFFFF"/>
        </w:rPr>
      </w:pPr>
      <w:r w:rsidRPr="007B11A2">
        <w:rPr>
          <w:rFonts w:ascii="黑体" w:eastAsia="黑体" w:hAnsi="黑体" w:cs="黑体" w:hint="eastAsia"/>
          <w:color w:val="000000"/>
          <w:kern w:val="0"/>
          <w:sz w:val="32"/>
          <w:szCs w:val="32"/>
          <w:shd w:val="clear" w:color="auto" w:fill="FFFFFF"/>
        </w:rPr>
        <w:t xml:space="preserve">　　七、投标纪律要求</w:t>
      </w:r>
    </w:p>
    <w:p w14:paraId="7CAABD4F"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14:paraId="3D2D7F3A" w14:textId="77777777" w:rsidR="007B11A2" w:rsidRPr="007B11A2" w:rsidRDefault="007B11A2" w:rsidP="007B11A2">
      <w:pPr>
        <w:shd w:val="clear" w:color="auto" w:fill="FFFFFF"/>
        <w:spacing w:line="560" w:lineRule="exact"/>
        <w:ind w:firstLine="640"/>
        <w:rPr>
          <w:rFonts w:ascii="仿宋" w:eastAsia="仿宋" w:hAnsi="仿宋" w:cs="仿宋"/>
          <w:color w:val="000000"/>
          <w:kern w:val="0"/>
          <w:sz w:val="32"/>
          <w:szCs w:val="32"/>
          <w:shd w:val="clear" w:color="auto" w:fill="FFFFFF"/>
        </w:rPr>
      </w:pPr>
      <w:r w:rsidRPr="007B11A2">
        <w:rPr>
          <w:rFonts w:ascii="仿宋" w:eastAsia="仿宋" w:hAnsi="仿宋" w:cs="仿宋" w:hint="eastAsia"/>
          <w:color w:val="000000"/>
          <w:kern w:val="0"/>
          <w:sz w:val="32"/>
          <w:szCs w:val="32"/>
          <w:shd w:val="clear" w:color="auto" w:fill="FFFFFF"/>
        </w:rPr>
        <w:t>2.投标课题组要弘扬严谨、求实、创新、诚信的优良学风，自觉坚持公平竞争的原则，严格遵守国家社科基金项目管理规定。凡有弄虚作假、抄袭剽窃、违规违纪等行为的，一经查实，即取消参评资格，如获中标，一律撤项，5年内</w:t>
      </w:r>
      <w:r w:rsidRPr="007B11A2">
        <w:rPr>
          <w:rFonts w:ascii="仿宋" w:eastAsia="仿宋" w:hAnsi="仿宋" w:cs="仿宋" w:hint="eastAsia"/>
          <w:color w:val="000000"/>
          <w:kern w:val="0"/>
          <w:sz w:val="32"/>
          <w:szCs w:val="32"/>
          <w:shd w:val="clear" w:color="auto" w:fill="FFFFFF"/>
        </w:rPr>
        <w:lastRenderedPageBreak/>
        <w:t>不得申报国家社科基金项目。</w:t>
      </w:r>
    </w:p>
    <w:p w14:paraId="1576B3E8" w14:textId="77777777" w:rsidR="007B11A2" w:rsidRPr="007B11A2" w:rsidRDefault="007B11A2" w:rsidP="007B11A2">
      <w:pPr>
        <w:shd w:val="clear" w:color="auto" w:fill="FFFFFF"/>
        <w:spacing w:line="560" w:lineRule="exact"/>
        <w:ind w:firstLineChars="200" w:firstLine="640"/>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3.子课题负责人和课题组成员须为课题研究的实际参与者，且须征得本人同意，否则视为违规申报。如获中标，首席专家要兑现投标时承诺，确保子课题负责人有足够的时间精力投入研究。</w:t>
      </w:r>
    </w:p>
    <w:p w14:paraId="05E08AF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4.投标课题组可提出2名以内建议回避评审专家，全国艺术科学规划领导小组办公室将根据评审工作的实际情况予以考虑。</w:t>
      </w:r>
    </w:p>
    <w:p w14:paraId="1240351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w:t>
      </w:r>
      <w:r w:rsidRPr="007B11A2">
        <w:rPr>
          <w:rFonts w:ascii="黑体" w:eastAsia="黑体" w:hAnsi="黑体" w:cs="黑体" w:hint="eastAsia"/>
          <w:color w:val="000000"/>
          <w:kern w:val="0"/>
          <w:sz w:val="32"/>
          <w:szCs w:val="32"/>
          <w:shd w:val="clear" w:color="auto" w:fill="FFFFFF"/>
        </w:rPr>
        <w:t>八、申报程序和时间安排</w:t>
      </w:r>
    </w:p>
    <w:p w14:paraId="4440B95F"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1.2024年度国家社科基金艺术学重大项目实行网上申报，不接受纸质投标材料。请首席专家登录全国艺术科学规划项目管理平台（网址：https://yskx.mct.gov.cn，以下简称“项目管理平台”），按照有关说明注册帐号并提交材料。</w:t>
      </w:r>
    </w:p>
    <w:p w14:paraId="0214567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2.全国艺术科学规划领导小组办公室委托中国艺术科技研究所受理各地投标材料，全国艺术科学规划领导小组办公室不直接受理。</w:t>
      </w:r>
    </w:p>
    <w:p w14:paraId="6144FA3A"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3.2024年度，除文化和旅游部直属单位及共建院校外，国家社科基金艺术学重大项目实行3级申报制度。投标课题经责任单位、中级管理单位审核后，通过项目管理平台提交至中国艺术科技研究所。文化和旅游部直属单位及共建院校实行2级申报制度，投标课题经本单位审核后，通过项目管理平台直接提交至中国艺术科技研究所。</w:t>
      </w:r>
    </w:p>
    <w:p w14:paraId="2E40605C"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4.首席专家及责任单位（含文化和旅游部直属单位及共建院校）网上集中填报投标课题和审核提交时间为2024年2</w:t>
      </w:r>
      <w:r w:rsidRPr="007B11A2">
        <w:rPr>
          <w:rFonts w:ascii="仿宋" w:eastAsia="仿宋" w:hAnsi="仿宋" w:cs="仿宋" w:hint="eastAsia"/>
          <w:color w:val="000000"/>
          <w:kern w:val="0"/>
          <w:sz w:val="32"/>
          <w:szCs w:val="32"/>
          <w:shd w:val="clear" w:color="auto" w:fill="FFFFFF"/>
        </w:rPr>
        <w:lastRenderedPageBreak/>
        <w:t>月20日至3月15日，逾期项目管理平台自动关闭，不再受理申报及审核。中级管理单位网上审核提交时间为3月16日至4月3日。各中级管理单位、文化和旅游部直属单位及共建院校完成本级审核及提交后，要将生成的本地区（本单位）项目汇总表打印盖章后报送至中国艺术科技研究所全国艺术科学规划项目管理中心。请严格按照以上时间要求填报投标材料、审核，因错过受理时间、未按要求操作造成的责任由相关人员自行承担。</w:t>
      </w:r>
    </w:p>
    <w:p w14:paraId="76BD795E"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5.全国艺术科学规划领导小组办公室将对投标课题进行资格审查，并组织专家对通过资格审查的投标课题进行评审，提出建议中标课题名单。</w:t>
      </w:r>
    </w:p>
    <w:p w14:paraId="5DE60415"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6.建议中标课题将在文化和旅游部门户网站及相关媒体公示7天，公示期满，对无异议项目下达立项通知书。</w:t>
      </w:r>
    </w:p>
    <w:p w14:paraId="5C377A0F"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邮寄地址：北京市东城区雍和宫大街戏楼胡同1号中国艺术科技研究所全国艺术科学规划项目管理中心</w:t>
      </w:r>
    </w:p>
    <w:p w14:paraId="575288E2"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邮政编码：100007</w:t>
      </w:r>
    </w:p>
    <w:p w14:paraId="145A347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咨询电话：010-87930753 姚宇航</w:t>
      </w:r>
    </w:p>
    <w:p w14:paraId="639BCEC9"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邮 箱：qgyskxghb@163.com（请优先通过邮箱咨询申报问题）</w:t>
      </w:r>
    </w:p>
    <w:p w14:paraId="6B58E423"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受不可抗力影响，申报工作安排如有变化，我办将第一时间另行通知。</w:t>
      </w:r>
    </w:p>
    <w:p w14:paraId="4C34FADD" w14:textId="77777777" w:rsidR="007B11A2" w:rsidRPr="007B11A2" w:rsidRDefault="007B11A2" w:rsidP="007B11A2">
      <w:pPr>
        <w:widowControl/>
        <w:shd w:val="clear" w:color="auto" w:fill="FFFFFF"/>
        <w:spacing w:line="560" w:lineRule="exact"/>
        <w:rPr>
          <w:rFonts w:ascii="仿宋" w:eastAsia="仿宋" w:hAnsi="仿宋" w:cs="仿宋"/>
          <w:color w:val="000000"/>
          <w:kern w:val="0"/>
          <w:sz w:val="32"/>
          <w:szCs w:val="32"/>
        </w:rPr>
      </w:pPr>
      <w:r w:rsidRPr="007B11A2">
        <w:rPr>
          <w:rFonts w:ascii="仿宋" w:eastAsia="仿宋" w:hAnsi="仿宋" w:cs="仿宋" w:hint="eastAsia"/>
          <w:color w:val="000000"/>
          <w:kern w:val="0"/>
          <w:sz w:val="32"/>
          <w:szCs w:val="32"/>
          <w:shd w:val="clear" w:color="auto" w:fill="FFFFFF"/>
        </w:rPr>
        <w:t xml:space="preserve">　　特此公告。</w:t>
      </w:r>
    </w:p>
    <w:p w14:paraId="2788DCB5" w14:textId="77777777" w:rsidR="007B11A2" w:rsidRPr="007B11A2" w:rsidRDefault="007B11A2" w:rsidP="007B11A2">
      <w:pPr>
        <w:widowControl/>
        <w:shd w:val="clear" w:color="auto" w:fill="FFFFFF"/>
        <w:spacing w:line="560" w:lineRule="exact"/>
        <w:rPr>
          <w:rFonts w:ascii="宋体" w:eastAsia="宋体" w:hAnsi="宋体" w:cs="宋体"/>
          <w:color w:val="000000"/>
          <w:kern w:val="0"/>
          <w:sz w:val="24"/>
          <w:szCs w:val="24"/>
        </w:rPr>
      </w:pPr>
      <w:r w:rsidRPr="007B11A2">
        <w:rPr>
          <w:rFonts w:ascii="宋体" w:eastAsia="宋体" w:hAnsi="宋体" w:cs="宋体" w:hint="eastAsia"/>
          <w:color w:val="000000"/>
          <w:kern w:val="0"/>
          <w:sz w:val="24"/>
          <w:szCs w:val="24"/>
          <w:shd w:val="clear" w:color="auto" w:fill="FFFFFF"/>
        </w:rPr>
        <w:t xml:space="preserve">　　</w:t>
      </w:r>
    </w:p>
    <w:p w14:paraId="4887DF39" w14:textId="77777777" w:rsidR="007B11A2" w:rsidRPr="007B11A2" w:rsidRDefault="007B11A2" w:rsidP="007B11A2">
      <w:pPr>
        <w:widowControl/>
        <w:spacing w:line="560" w:lineRule="exact"/>
        <w:rPr>
          <w:rFonts w:ascii="仿宋" w:eastAsia="仿宋" w:hAnsi="仿宋" w:cs="仿宋"/>
          <w:color w:val="000000"/>
          <w:kern w:val="0"/>
          <w:sz w:val="32"/>
          <w:szCs w:val="32"/>
        </w:rPr>
      </w:pPr>
      <w:r w:rsidRPr="007B11A2">
        <w:rPr>
          <w:rFonts w:ascii="Calibri" w:eastAsia="仿宋" w:hAnsi="Calibri" w:cs="Calibri"/>
          <w:color w:val="000000"/>
          <w:kern w:val="0"/>
          <w:sz w:val="32"/>
          <w:szCs w:val="32"/>
          <w:shd w:val="clear" w:color="auto" w:fill="FFFFFF"/>
        </w:rPr>
        <w:t> </w:t>
      </w:r>
    </w:p>
    <w:p w14:paraId="1F8B74E3" w14:textId="77777777" w:rsidR="007B11A2" w:rsidRPr="007B11A2" w:rsidRDefault="007B11A2" w:rsidP="007B11A2">
      <w:pPr>
        <w:widowControl/>
        <w:shd w:val="clear" w:color="auto" w:fill="FFFFFF"/>
        <w:spacing w:line="560" w:lineRule="exact"/>
        <w:jc w:val="center"/>
        <w:rPr>
          <w:rFonts w:ascii="仿宋" w:eastAsia="仿宋" w:hAnsi="仿宋" w:cs="仿宋"/>
          <w:color w:val="000000"/>
          <w:sz w:val="32"/>
          <w:szCs w:val="32"/>
        </w:rPr>
      </w:pPr>
      <w:r w:rsidRPr="007B11A2">
        <w:rPr>
          <w:rFonts w:ascii="仿宋" w:eastAsia="仿宋" w:hAnsi="仿宋" w:cs="仿宋"/>
          <w:color w:val="000000"/>
          <w:kern w:val="0"/>
          <w:sz w:val="32"/>
          <w:szCs w:val="32"/>
          <w:shd w:val="clear" w:color="auto" w:fill="FFFFFF"/>
          <w:lang w:bidi="ar"/>
        </w:rPr>
        <w:lastRenderedPageBreak/>
        <w:t xml:space="preserve">                         </w:t>
      </w:r>
      <w:r w:rsidRPr="007B11A2">
        <w:rPr>
          <w:rFonts w:ascii="仿宋" w:eastAsia="仿宋" w:hAnsi="仿宋" w:cs="仿宋" w:hint="eastAsia"/>
          <w:color w:val="000000"/>
          <w:kern w:val="0"/>
          <w:sz w:val="32"/>
          <w:szCs w:val="32"/>
          <w:shd w:val="clear" w:color="auto" w:fill="FFFFFF"/>
          <w:lang w:bidi="ar"/>
        </w:rPr>
        <w:t>文化和旅游部科技教育司</w:t>
      </w:r>
      <w:r w:rsidRPr="007B11A2">
        <w:rPr>
          <w:rFonts w:ascii="Calibri" w:eastAsia="仿宋" w:hAnsi="Calibri" w:cs="Calibri"/>
          <w:color w:val="000000"/>
          <w:kern w:val="0"/>
          <w:sz w:val="32"/>
          <w:szCs w:val="32"/>
          <w:shd w:val="clear" w:color="auto" w:fill="FFFFFF"/>
          <w:lang w:bidi="ar"/>
        </w:rPr>
        <w:t>  </w:t>
      </w:r>
    </w:p>
    <w:p w14:paraId="440FE083" w14:textId="77777777" w:rsidR="007B11A2" w:rsidRPr="007B11A2" w:rsidRDefault="007B11A2" w:rsidP="007B11A2">
      <w:pPr>
        <w:widowControl/>
        <w:shd w:val="clear" w:color="auto" w:fill="FFFFFF"/>
        <w:spacing w:line="560" w:lineRule="exact"/>
        <w:jc w:val="right"/>
        <w:rPr>
          <w:rFonts w:ascii="仿宋" w:eastAsia="仿宋" w:hAnsi="仿宋" w:cs="仿宋"/>
          <w:color w:val="000000"/>
          <w:sz w:val="32"/>
          <w:szCs w:val="32"/>
        </w:rPr>
      </w:pPr>
      <w:r w:rsidRPr="007B11A2">
        <w:rPr>
          <w:rFonts w:ascii="仿宋" w:eastAsia="仿宋" w:hAnsi="仿宋" w:cs="仿宋" w:hint="eastAsia"/>
          <w:color w:val="000000"/>
          <w:kern w:val="0"/>
          <w:sz w:val="32"/>
          <w:szCs w:val="32"/>
          <w:shd w:val="clear" w:color="auto" w:fill="FFFFFF"/>
          <w:lang w:bidi="ar"/>
        </w:rPr>
        <w:t xml:space="preserve">　　全国艺术科学规划领导小组办公室</w:t>
      </w:r>
    </w:p>
    <w:p w14:paraId="3024D656" w14:textId="0AB7A7CB" w:rsidR="007B11A2" w:rsidRPr="007B11A2" w:rsidRDefault="007B11A2" w:rsidP="007B11A2">
      <w:pPr>
        <w:widowControl/>
        <w:shd w:val="clear" w:color="auto" w:fill="FFFFFF"/>
        <w:spacing w:line="560" w:lineRule="exact"/>
        <w:ind w:firstLineChars="1600" w:firstLine="5120"/>
        <w:rPr>
          <w:rFonts w:ascii="宋体" w:eastAsia="宋体" w:hAnsi="宋体" w:cs="宋体"/>
          <w:color w:val="000000"/>
          <w:kern w:val="0"/>
          <w:sz w:val="32"/>
          <w:szCs w:val="32"/>
          <w:shd w:val="clear" w:color="auto" w:fill="FFFFFF"/>
        </w:rPr>
      </w:pPr>
      <w:r w:rsidRPr="007B11A2">
        <w:rPr>
          <w:rFonts w:ascii="仿宋" w:eastAsia="仿宋" w:hAnsi="仿宋" w:cs="仿宋" w:hint="eastAsia"/>
          <w:color w:val="000000"/>
          <w:kern w:val="0"/>
          <w:sz w:val="32"/>
          <w:szCs w:val="32"/>
          <w:shd w:val="clear" w:color="auto" w:fill="FFFFFF"/>
        </w:rPr>
        <w:t>202</w:t>
      </w:r>
      <w:r w:rsidR="00DC58D0">
        <w:rPr>
          <w:rFonts w:ascii="仿宋" w:eastAsia="仿宋" w:hAnsi="仿宋" w:cs="仿宋"/>
          <w:color w:val="000000"/>
          <w:kern w:val="0"/>
          <w:sz w:val="32"/>
          <w:szCs w:val="32"/>
          <w:shd w:val="clear" w:color="auto" w:fill="FFFFFF"/>
        </w:rPr>
        <w:t>4</w:t>
      </w:r>
      <w:r w:rsidRPr="007B11A2">
        <w:rPr>
          <w:rFonts w:ascii="仿宋" w:eastAsia="仿宋" w:hAnsi="仿宋" w:cs="仿宋" w:hint="eastAsia"/>
          <w:color w:val="000000"/>
          <w:kern w:val="0"/>
          <w:sz w:val="32"/>
          <w:szCs w:val="32"/>
          <w:shd w:val="clear" w:color="auto" w:fill="FFFFFF"/>
        </w:rPr>
        <w:t>年2月</w:t>
      </w:r>
      <w:r w:rsidRPr="007B11A2">
        <w:rPr>
          <w:rFonts w:ascii="仿宋" w:eastAsia="仿宋" w:hAnsi="仿宋" w:cs="仿宋"/>
          <w:color w:val="000000"/>
          <w:kern w:val="0"/>
          <w:sz w:val="32"/>
          <w:szCs w:val="32"/>
          <w:shd w:val="clear" w:color="auto" w:fill="FFFFFF"/>
        </w:rPr>
        <w:t>7</w:t>
      </w:r>
      <w:r w:rsidRPr="007B11A2">
        <w:rPr>
          <w:rFonts w:ascii="仿宋" w:eastAsia="仿宋" w:hAnsi="仿宋" w:cs="仿宋" w:hint="eastAsia"/>
          <w:color w:val="000000"/>
          <w:kern w:val="0"/>
          <w:sz w:val="32"/>
          <w:szCs w:val="32"/>
          <w:shd w:val="clear" w:color="auto" w:fill="FFFFFF"/>
        </w:rPr>
        <w:t>日</w:t>
      </w:r>
      <w:r w:rsidRPr="007B11A2">
        <w:rPr>
          <w:rFonts w:ascii="Calibri" w:eastAsia="仿宋" w:hAnsi="Calibri" w:cs="Calibri"/>
          <w:color w:val="000000"/>
          <w:kern w:val="0"/>
          <w:sz w:val="32"/>
          <w:szCs w:val="32"/>
          <w:shd w:val="clear" w:color="auto" w:fill="FFFFFF"/>
        </w:rPr>
        <w:t> </w:t>
      </w:r>
      <w:r w:rsidRPr="007B11A2">
        <w:rPr>
          <w:rFonts w:ascii="宋体" w:eastAsia="宋体" w:hAnsi="宋体" w:cs="宋体" w:hint="eastAsia"/>
          <w:color w:val="000000"/>
          <w:kern w:val="0"/>
          <w:sz w:val="32"/>
          <w:szCs w:val="32"/>
          <w:shd w:val="clear" w:color="auto" w:fill="FFFFFF"/>
        </w:rPr>
        <w:t> </w:t>
      </w:r>
    </w:p>
    <w:p w14:paraId="103F656E" w14:textId="77777777" w:rsidR="007B11A2" w:rsidRPr="007B11A2" w:rsidRDefault="007B11A2" w:rsidP="007B11A2">
      <w:pPr>
        <w:widowControl/>
        <w:shd w:val="clear" w:color="auto" w:fill="FFFFFF"/>
        <w:spacing w:line="560" w:lineRule="exact"/>
        <w:ind w:firstLineChars="1600" w:firstLine="5120"/>
        <w:rPr>
          <w:rFonts w:ascii="宋体" w:eastAsia="宋体" w:hAnsi="宋体" w:cs="宋体"/>
          <w:color w:val="000000"/>
          <w:kern w:val="0"/>
          <w:sz w:val="32"/>
          <w:szCs w:val="32"/>
          <w:shd w:val="clear" w:color="auto" w:fill="FFFFFF"/>
        </w:rPr>
      </w:pPr>
    </w:p>
    <w:p w14:paraId="6B22EBAC" w14:textId="77777777" w:rsidR="007B11A2" w:rsidRPr="007B11A2" w:rsidRDefault="007B11A2" w:rsidP="007B11A2">
      <w:pPr>
        <w:widowControl/>
        <w:shd w:val="clear" w:color="auto" w:fill="FFFFFF"/>
        <w:spacing w:line="560" w:lineRule="exact"/>
        <w:ind w:firstLineChars="1600" w:firstLine="5120"/>
        <w:rPr>
          <w:rFonts w:ascii="宋体" w:eastAsia="宋体" w:hAnsi="宋体" w:cs="宋体"/>
          <w:color w:val="000000"/>
          <w:kern w:val="0"/>
          <w:sz w:val="32"/>
          <w:szCs w:val="32"/>
          <w:shd w:val="clear" w:color="auto" w:fill="FFFFFF"/>
        </w:rPr>
      </w:pPr>
    </w:p>
    <w:p w14:paraId="35B826F6" w14:textId="77777777" w:rsidR="007B11A2" w:rsidRPr="007B11A2" w:rsidRDefault="007B11A2" w:rsidP="007B11A2">
      <w:pPr>
        <w:widowControl/>
        <w:shd w:val="clear" w:color="auto" w:fill="FFFFFF"/>
        <w:spacing w:line="560" w:lineRule="exact"/>
        <w:rPr>
          <w:rFonts w:ascii="黑体" w:eastAsia="黑体" w:hAnsi="黑体" w:cs="黑体"/>
          <w:color w:val="000000"/>
          <w:kern w:val="0"/>
          <w:sz w:val="32"/>
          <w:szCs w:val="32"/>
          <w:shd w:val="clear" w:color="auto" w:fill="FFFFFF"/>
        </w:rPr>
      </w:pPr>
    </w:p>
    <w:p w14:paraId="74BB8068" w14:textId="77777777" w:rsidR="007B11A2" w:rsidRPr="007B11A2" w:rsidRDefault="007B11A2" w:rsidP="007B11A2">
      <w:pPr>
        <w:widowControl/>
        <w:shd w:val="clear" w:color="auto" w:fill="FFFFFF"/>
        <w:spacing w:line="560" w:lineRule="exact"/>
        <w:rPr>
          <w:rFonts w:ascii="黑体" w:eastAsia="黑体" w:hAnsi="黑体" w:cs="黑体"/>
          <w:color w:val="000000"/>
          <w:kern w:val="0"/>
          <w:sz w:val="32"/>
          <w:szCs w:val="32"/>
          <w:shd w:val="clear" w:color="auto" w:fill="FFFFFF"/>
        </w:rPr>
      </w:pPr>
    </w:p>
    <w:p w14:paraId="08515760" w14:textId="77777777" w:rsidR="007476CD" w:rsidRDefault="007476CD"/>
    <w:sectPr w:rsidR="00747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8BA7" w14:textId="77777777" w:rsidR="00F3681C" w:rsidRDefault="00F3681C" w:rsidP="007B11A2">
      <w:r>
        <w:separator/>
      </w:r>
    </w:p>
  </w:endnote>
  <w:endnote w:type="continuationSeparator" w:id="0">
    <w:p w14:paraId="5DF08214" w14:textId="77777777" w:rsidR="00F3681C" w:rsidRDefault="00F3681C" w:rsidP="007B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0E03" w14:textId="77777777" w:rsidR="00F3681C" w:rsidRDefault="00F3681C" w:rsidP="007B11A2">
      <w:r>
        <w:separator/>
      </w:r>
    </w:p>
  </w:footnote>
  <w:footnote w:type="continuationSeparator" w:id="0">
    <w:p w14:paraId="0DD21F73" w14:textId="77777777" w:rsidR="00F3681C" w:rsidRDefault="00F3681C" w:rsidP="007B1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9C"/>
    <w:rsid w:val="003655EF"/>
    <w:rsid w:val="0071015E"/>
    <w:rsid w:val="007476CD"/>
    <w:rsid w:val="007B11A2"/>
    <w:rsid w:val="0091789C"/>
    <w:rsid w:val="009677ED"/>
    <w:rsid w:val="00DC58D0"/>
    <w:rsid w:val="00F3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F067"/>
  <w15:chartTrackingRefBased/>
  <w15:docId w15:val="{21B5733E-85C1-49D5-869D-413428AB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1A2"/>
    <w:pPr>
      <w:tabs>
        <w:tab w:val="center" w:pos="4153"/>
        <w:tab w:val="right" w:pos="8306"/>
      </w:tabs>
      <w:snapToGrid w:val="0"/>
      <w:jc w:val="center"/>
    </w:pPr>
    <w:rPr>
      <w:sz w:val="18"/>
      <w:szCs w:val="18"/>
    </w:rPr>
  </w:style>
  <w:style w:type="character" w:customStyle="1" w:styleId="a4">
    <w:name w:val="页眉 字符"/>
    <w:basedOn w:val="a0"/>
    <w:link w:val="a3"/>
    <w:uiPriority w:val="99"/>
    <w:rsid w:val="007B11A2"/>
    <w:rPr>
      <w:sz w:val="18"/>
      <w:szCs w:val="18"/>
    </w:rPr>
  </w:style>
  <w:style w:type="paragraph" w:styleId="a5">
    <w:name w:val="footer"/>
    <w:basedOn w:val="a"/>
    <w:link w:val="a6"/>
    <w:uiPriority w:val="99"/>
    <w:unhideWhenUsed/>
    <w:rsid w:val="007B11A2"/>
    <w:pPr>
      <w:tabs>
        <w:tab w:val="center" w:pos="4153"/>
        <w:tab w:val="right" w:pos="8306"/>
      </w:tabs>
      <w:snapToGrid w:val="0"/>
      <w:jc w:val="left"/>
    </w:pPr>
    <w:rPr>
      <w:sz w:val="18"/>
      <w:szCs w:val="18"/>
    </w:rPr>
  </w:style>
  <w:style w:type="character" w:customStyle="1" w:styleId="a6">
    <w:name w:val="页脚 字符"/>
    <w:basedOn w:val="a0"/>
    <w:link w:val="a5"/>
    <w:uiPriority w:val="99"/>
    <w:rsid w:val="007B11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2024-02-18T14:12:00Z</dcterms:created>
  <dcterms:modified xsi:type="dcterms:W3CDTF">2024-02-20T05:55:00Z</dcterms:modified>
</cp:coreProperties>
</file>