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b w:val="0"/>
          <w:bCs w:val="0"/>
          <w:color w:val="000000"/>
          <w:kern w:val="2"/>
          <w:sz w:val="32"/>
          <w:szCs w:val="32"/>
          <w:lang w:val="en-US" w:eastAsia="zh-CN"/>
        </w:rPr>
      </w:pPr>
      <w:r>
        <w:rPr>
          <w:rFonts w:hint="eastAsia" w:ascii="黑体" w:hAnsi="黑体" w:eastAsia="黑体"/>
          <w:b w:val="0"/>
          <w:bCs w:val="0"/>
          <w:color w:val="000000"/>
          <w:kern w:val="2"/>
          <w:sz w:val="32"/>
          <w:szCs w:val="32"/>
          <w:lang w:val="en-US" w:eastAsia="zh-CN"/>
        </w:rPr>
        <w:t>附件4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b/>
          <w:bCs/>
          <w:color w:val="000000"/>
          <w:kern w:val="2"/>
          <w:sz w:val="32"/>
          <w:szCs w:val="32"/>
          <w:lang w:val="en-US" w:eastAsia="zh-CN"/>
        </w:rPr>
      </w:pPr>
      <w:bookmarkStart w:id="0" w:name="_GoBack"/>
      <w:r>
        <w:rPr>
          <w:rFonts w:hint="eastAsia" w:ascii="方正小标宋简体" w:hAnsi="方正小标宋简体" w:eastAsia="方正小标宋简体" w:cs="方正小标宋简体"/>
          <w:b w:val="0"/>
          <w:bCs w:val="0"/>
          <w:color w:val="000000"/>
          <w:kern w:val="2"/>
          <w:sz w:val="44"/>
          <w:szCs w:val="44"/>
          <w:lang w:val="en-US" w:eastAsia="zh-CN"/>
        </w:rPr>
        <w:t>专业能力答辩要求</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一、参加答辩人员范围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艺术、图书资料、群众文化系列申报高级职称的参评人员。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二、答辩内容和程序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1.专业能力答辩主要考核申报人的专业能力和学术水平，内容为申报专业相关知识。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2.申报人先进行不超过5分钟的自我简要陈述，说明本人的主要工作实绩、学术观点、创新、特色、贡献等。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3.专家组就申报人提供的业绩材料、从事专业、</w:t>
      </w:r>
      <w:r>
        <w:rPr>
          <w:rFonts w:hint="eastAsia" w:ascii="仿宋" w:hAnsi="仿宋" w:eastAsia="仿宋" w:cs="仿宋"/>
          <w:sz w:val="32"/>
          <w:szCs w:val="32"/>
          <w:highlight w:val="none"/>
          <w:lang w:val="en-US" w:eastAsia="zh-CN"/>
        </w:rPr>
        <w:t>培养指导人才情况</w:t>
      </w:r>
      <w:r>
        <w:rPr>
          <w:rFonts w:hint="eastAsia" w:ascii="仿宋" w:hAnsi="仿宋" w:eastAsia="仿宋" w:cs="仿宋"/>
          <w:sz w:val="32"/>
          <w:szCs w:val="32"/>
          <w:highlight w:val="none"/>
          <w:vertAlign w:val="baseline"/>
          <w:lang w:val="en-US" w:eastAsia="zh-CN"/>
        </w:rPr>
        <w:t>等方面</w:t>
      </w:r>
      <w:r>
        <w:rPr>
          <w:rFonts w:hint="eastAsia" w:ascii="仿宋" w:hAnsi="仿宋" w:eastAsia="仿宋"/>
          <w:color w:val="000000"/>
          <w:kern w:val="2"/>
          <w:sz w:val="32"/>
          <w:szCs w:val="32"/>
          <w:lang w:val="en-US" w:eastAsia="zh-CN"/>
        </w:rPr>
        <w:t>进行提问，要求专业展示等。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三、相关要求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1.答辩人员凭身份证参加答辩。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2.参加答辩时，可携带相关纸质资料。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3.答辩前，必须按规定将手机等通讯设备交工作人员保管，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违反规定者，取消其答辩成绩。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257"/>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4.所有申报高级职称人员必须参加专业能力答辩，具体时间和地点由省文化和旅游厅人事处在答辩前电话或短信通知申报人。未参加答辩人员，视为放弃评审。</w:t>
      </w:r>
    </w:p>
    <w:p/>
    <w:sectPr>
      <w:footerReference r:id="rId3" w:type="default"/>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00000000"/>
    <w:rsid w:val="532D0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before="100" w:beforeAutospacing="1"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泽昊</cp:lastModifiedBy>
  <dcterms:modified xsi:type="dcterms:W3CDTF">2024-01-22T10:16:03Z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D80C63C558A84AB89784B06999E539CE_12</vt:lpwstr>
  </property>
</Properties>
</file>