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 w:hAnsi="仿宋" w:eastAsia="仿宋" w:cs="仿宋"/>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92" w:right="692"/>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2022年度国家社会科学基金艺术学重大项目招标公告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经文化和旅游部和全国艺术科学规划领导小组批准，2022年度国家社会科学基金艺术学重大项目面向全国公开招标。现将有关事项公告如下：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一、招标单位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全国艺术科学规划领导小组办公室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二、招标对象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三、招标工作总体要求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高举中国特色社会主义伟大旗帜，以习近平新时代中国特色社会主义思想为指导，深入贯彻落实党的十九大和十九届历次全会精神，贯彻落实《中共中央关于加快构建中国特色哲学社会科学的意见》，坚持以重大现实问题为主攻方向，坚持基础研究和应用研究并重，发挥国家社会科学基金示范引导作用，加快构建中国特色艺术学体系，推动文化艺术和旅游研究为党和国家工作大局服务，为繁荣发展哲学社会科学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四、招标数量和资助额度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2021年度共发布20个重大项目招标选题，每个招标选题原则上只确立1项中标课题。资助额度根据研究的实际需要确定，一般为每项60-80万元。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五、投标资格要求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（一）投标责任单位须具备下列条件：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1009" w:leftChars="328" w:right="690" w:hanging="320" w:hangingChars="100"/>
        <w:jc w:val="both"/>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1.在文化艺术和旅游研究领域具有较强的科研力量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jc w:val="both"/>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和深厚的学术积累；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2.设有专门负责科研管理工作的职能部门；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3.能够为开展重大项目研究工作提供良好条件。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（二）投标课题组须具备下列条件：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1.遵守中华人民共和国宪法和法律，遵守国家社会科学基金各项管理规定；在相关研究领域具有深厚的学术造诣和丰富的科研经验，社会责任感强，学风优良；首席专家具有正高级专业技术职称或厅局级（含）以上领导职务，能够承担实质性研究工作并担负科研组织指导职责；每个投标课题组的首席专家只能为一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2.在研的国家社会科学基金重大项目、重大研究专项项目，马克思主义理论研究和建设工程重大项目，国家出版基金项目及其他国家级重大科研项目，教育部哲学社会科学重大攻关项目、教育部人文社会科学重点研究基地重大项目的课题负责人，不能作为首席专家参加本次投标。申请2022年度其他国家级科研重大项目及2022年度教育部哲学社会科学研究重大课题攻关项目的首席专家不能投标国家社科基金艺术学重大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3.首席专家只能投标一个项目，且不能作为子课题负责人或课题组成员参与本次投标的其他课题。子课题负责人须具有副高级（含）以上职称，在本次招标中只能参与一个投标课题。课题组成员最多参与两个投标课题。在研的国家社科基金重大项目、重大研究专项项目和教育部哲学社会科学研究重大课题攻关项目的课题负责人，不得作为子课题负责人参与本次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4.文化和旅游部机关工作人员不能申请或者参与申请国家社会科学基金艺术学重大项目。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六、投标课题要求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1.投标课题组须按2022年度发布的招标选题（</w:t>
      </w:r>
      <w:r>
        <w:rPr>
          <w:rFonts w:hint="eastAsia" w:ascii="仿宋" w:hAnsi="仿宋" w:eastAsia="仿宋" w:cs="仿宋"/>
          <w:sz w:val="32"/>
          <w:szCs w:val="32"/>
          <w:lang w:val="en-US" w:eastAsia="zh-CN"/>
        </w:rPr>
        <w:t>可在文化和旅游部网站或申报系统主页上查询、下载</w:t>
      </w:r>
      <w:r>
        <w:rPr>
          <w:rFonts w:hint="eastAsia" w:ascii="仿宋" w:hAnsi="仿宋" w:eastAsia="仿宋" w:cs="仿宋"/>
          <w:kern w:val="2"/>
          <w:sz w:val="32"/>
          <w:szCs w:val="32"/>
          <w:lang w:val="en-US" w:eastAsia="zh-CN" w:bidi="ar-SA"/>
        </w:rPr>
        <w:t>）投标，自选课题不予受理。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3.投标课题组要熟知国内外相关领域研究前沿和动态，除必要的学术史梳理外，应着重对同类课题研究状况和他人研究成果做出分析评价，阐明投标课题的价值和意义。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4.投标课题组要具备扎实的研究基础和丰富的相关前期研究成果。投标材料要重点介绍首席专家近年来在相关研究领域的学术积累和学术贡献、同行评价和社会影响等方面情况。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5.投标课题组要树立鲜明的问题意识和创新意识，在框架设计、研究思路、主要内容、基本观点、研究方法等方面，体现创新的学术思想、独到的学术见解和可能取得的突破。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6.项目完成时间根据研究工作的实际需要确定，一般应在3-5年左右完成（以“*”标注选题研究周期为3年）。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七、投标纪律要求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投标责任单位和首席专家要加强审核把关，切实把好政治方向关和学术质量关。各省、自治区、直辖市艺术科学规划领导小组办公室或文化和旅游厅（局）艺术科研管理部门作为中级管理单位要从课题设计、课题论证、首席专家、前期研究成果、科研团队和责任单位等方面进行认真仔细审核，合格者予以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投标课题组要弘扬严谨、求实、创新、诚信的优良学风，自觉坚持公平竞争的原则，严格遵守国家社会科学基金项目管理规定。凡有弄虚作假、抄袭剽窃、违规违纪等行为的，一经查实，即取消参评资格，如获中标，一律撤项，5年内不得申报国家社会科学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子课题负责人和课题组成员须为课题研究的实际参与者，且须征得本人同意，否则视为违规申报。如获中标，首席专家要兑现投标时承诺，确保子课题负责人有足够的时间精力投入研究，原则上不得变更子课题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4.投标课题组可提出2名以内建议回避评审专家，全国艺术科学规划领导小组办公室将根据评审工作的实际情况予以考虑。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黑体" w:hAnsi="黑体" w:eastAsia="黑体" w:cs="黑体"/>
          <w:b/>
          <w:bCs/>
          <w:kern w:val="2"/>
          <w:sz w:val="32"/>
          <w:szCs w:val="32"/>
          <w:lang w:val="en-US" w:eastAsia="zh-CN" w:bidi="ar-SA"/>
        </w:rPr>
        <w:t>八、申报程序和时间安排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1.2022年度国家社会科学基金艺术学重大项目实行网上申报，不接受纸质投标材料。请首席专家登录全国艺术科学规划项目申报管理系统</w:t>
      </w:r>
      <w:r>
        <w:rPr>
          <w:rFonts w:hint="eastAsia" w:ascii="仿宋" w:hAnsi="仿宋" w:eastAsia="仿宋" w:cs="仿宋"/>
          <w:sz w:val="32"/>
          <w:szCs w:val="32"/>
          <w:lang w:val="en-US" w:eastAsia="zh-CN"/>
        </w:rPr>
        <w:t>（系统路径为：文化和旅游部网站主页→政务服务→办事大厅→全国艺术科学规划项目申报管理系统）</w:t>
      </w:r>
      <w:r>
        <w:rPr>
          <w:rFonts w:hint="eastAsia" w:ascii="仿宋" w:hAnsi="仿宋" w:eastAsia="仿宋" w:cs="仿宋"/>
          <w:kern w:val="2"/>
          <w:sz w:val="32"/>
          <w:szCs w:val="32"/>
          <w:lang w:val="en-US" w:eastAsia="zh-CN" w:bidi="ar-SA"/>
        </w:rPr>
        <w:t>，按照有关说明注册帐号并提交材料。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2.全国艺术科学规划领导小组办公室委托中国艺术科技研究所受理各地投标课题，全国艺术科学规划领导小组办公室不直接受理申报。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3.2022年度，除文化和旅游部直属单位及共建院校外，国家社会科学基金艺术学重大项目实行3级申报制度。投标课题经责任单位、中级管理单位审核后，通过系统提交至中国艺术科技研究所。文化和旅游部直属单位及共建院校实行2级申报制度，投标课题经本单位审核后，通过系统直接提交至中国艺术科技研究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首席专家及责任单位（含文化和旅游部直属单位及共建院校）网上集中填报投标课题和审核提交时间为2022年1月15日至3月15日，逾期系统关闭不予受理申报及审核。中级管理单位网上审核提交时间为3月16日至3月31日。各中级管理单位、文化和旅游部直属单位及共建院校完成本级审核及提交后，要将系统生成的本地区（本单位）项目汇总表打印盖章后报送至中国艺术科技研究所全国艺术科学规划项目管理中心。请严格按照以上时间要求填报投标材料、审核，因错过受理时间、未按要求操作系统造成的责任由相关人员自行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5.全国艺术科学规划领导小组办公室将对投标课题进行资格审查，并组织专家对通过资格审查的投标课题进行评审，提出建议中标课题名单。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69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6.建议中标课题名单经全国艺术科学规划领导小组审批后，在文化和旅游部及全国哲学社会科学工作办公室网站上公示7天，公示结果报全国艺术科学规划领导小组审批后下达立项通知书。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特此公告。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仿宋" w:hAnsi="仿宋" w:eastAsia="仿宋" w:cs="仿宋"/>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全国艺术科学规划领导小组办公室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2022年1月10日</w:t>
      </w:r>
    </w:p>
    <w:p>
      <w:pPr>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default" w:ascii="仿宋" w:hAnsi="仿宋" w:eastAsia="仿宋" w:cs="仿宋"/>
          <w:kern w:val="2"/>
          <w:sz w:val="32"/>
          <w:szCs w:val="32"/>
          <w:lang w:val="en-US" w:eastAsia="zh-CN" w:bidi="ar-SA"/>
        </w:rPr>
        <w:sectPr>
          <w:footerReference r:id="rId3" w:type="default"/>
          <w:pgSz w:w="11906" w:h="16838"/>
          <w:pgMar w:top="1440" w:right="1417" w:bottom="1440" w:left="1800" w:header="851" w:footer="992" w:gutter="0"/>
          <w:cols w:space="720" w:num="1"/>
          <w:rtlGutter w:val="0"/>
          <w:docGrid w:type="lines" w:linePitch="312" w:charSpace="0"/>
        </w:sectPr>
      </w:pPr>
      <w:r>
        <w:rPr>
          <w:rFonts w:hint="eastAsia" w:ascii="仿宋" w:hAnsi="仿宋" w:eastAsia="仿宋" w:cs="仿宋"/>
          <w:kern w:val="2"/>
          <w:sz w:val="32"/>
          <w:szCs w:val="32"/>
          <w:lang w:val="en-US" w:eastAsia="zh-CN" w:bidi="ar-SA"/>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FF67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rFonts w:ascii="Times New Roman" w:hAnsi="Times New Roman" w:eastAsia="仿宋"/>
      <w:kern w:val="44"/>
      <w:sz w:val="32"/>
      <w:szCs w:val="44"/>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2022-02-17T00:56:30Z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33B24630B46E492A9434F09CA50257BB</vt:lpwstr>
  </property>
</Properties>
</file>