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陕西省文化和旅游厅安全生产权力清单和责任清单</w:t>
      </w:r>
    </w:p>
    <w:tbl>
      <w:tblPr>
        <w:tblStyle w:val="4"/>
        <w:tblW w:w="14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2700"/>
        <w:gridCol w:w="1905"/>
        <w:gridCol w:w="5220"/>
        <w:gridCol w:w="3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1" w:hRule="atLeast"/>
        </w:trPr>
        <w:tc>
          <w:tcPr>
            <w:tcW w:w="1626" w:type="dxa"/>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监管职责</w:t>
            </w:r>
          </w:p>
        </w:tc>
        <w:tc>
          <w:tcPr>
            <w:tcW w:w="2700" w:type="dxa"/>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监管依据</w:t>
            </w:r>
          </w:p>
        </w:tc>
        <w:tc>
          <w:tcPr>
            <w:tcW w:w="1905" w:type="dxa"/>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职责边界</w:t>
            </w:r>
          </w:p>
        </w:tc>
        <w:tc>
          <w:tcPr>
            <w:tcW w:w="5220" w:type="dxa"/>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监管事项</w:t>
            </w:r>
          </w:p>
        </w:tc>
        <w:tc>
          <w:tcPr>
            <w:tcW w:w="3289" w:type="dxa"/>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不履行监管职责的情形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4" w:hRule="atLeast"/>
        </w:trPr>
        <w:tc>
          <w:tcPr>
            <w:tcW w:w="1626" w:type="dxa"/>
            <w:vAlign w:val="center"/>
          </w:tcPr>
          <w:p>
            <w:pPr>
              <w:rPr>
                <w:rFonts w:hint="eastAsia" w:ascii="仿宋" w:hAnsi="仿宋" w:eastAsia="仿宋" w:cs="仿宋"/>
                <w:vertAlign w:val="baseline"/>
              </w:rPr>
            </w:pPr>
            <w:r>
              <w:rPr>
                <w:rFonts w:hint="eastAsia" w:ascii="仿宋" w:hAnsi="仿宋" w:eastAsia="仿宋" w:cs="仿宋"/>
                <w:vertAlign w:val="baseline"/>
                <w:lang w:val="en-US" w:eastAsia="zh-CN"/>
              </w:rPr>
              <w:t>1.</w:t>
            </w:r>
            <w:r>
              <w:rPr>
                <w:rFonts w:hint="eastAsia" w:ascii="仿宋" w:hAnsi="仿宋" w:eastAsia="仿宋" w:cs="仿宋"/>
                <w:vertAlign w:val="baseline"/>
              </w:rPr>
              <w:t>文化行业安</w:t>
            </w:r>
          </w:p>
          <w:p>
            <w:pPr>
              <w:rPr>
                <w:rFonts w:hint="eastAsia" w:ascii="仿宋" w:hAnsi="仿宋" w:eastAsia="仿宋" w:cs="仿宋"/>
                <w:vertAlign w:val="baseline"/>
              </w:rPr>
            </w:pPr>
            <w:r>
              <w:rPr>
                <w:rFonts w:hint="eastAsia" w:ascii="仿宋" w:hAnsi="仿宋" w:eastAsia="仿宋" w:cs="仿宋"/>
                <w:vertAlign w:val="baseline"/>
              </w:rPr>
              <w:t>全监督管理</w:t>
            </w:r>
          </w:p>
        </w:tc>
        <w:tc>
          <w:tcPr>
            <w:tcW w:w="2700" w:type="dxa"/>
            <w:vAlign w:val="center"/>
          </w:tcPr>
          <w:p>
            <w:pPr>
              <w:rPr>
                <w:rFonts w:hint="eastAsia" w:ascii="仿宋" w:hAnsi="仿宋" w:eastAsia="仿宋" w:cs="仿宋"/>
                <w:vertAlign w:val="baseline"/>
              </w:rPr>
            </w:pPr>
            <w:r>
              <w:rPr>
                <w:rFonts w:hint="eastAsia" w:ascii="仿宋" w:hAnsi="仿宋" w:eastAsia="仿宋" w:cs="仿宋"/>
                <w:vertAlign w:val="baseline"/>
              </w:rPr>
              <w:t>1.《中华人民共和国安全生产法》</w:t>
            </w:r>
          </w:p>
          <w:p>
            <w:pPr>
              <w:rPr>
                <w:rFonts w:hint="eastAsia" w:ascii="仿宋" w:hAnsi="仿宋" w:eastAsia="仿宋" w:cs="仿宋"/>
                <w:vertAlign w:val="baseline"/>
              </w:rPr>
            </w:pPr>
            <w:r>
              <w:rPr>
                <w:rFonts w:hint="eastAsia" w:ascii="仿宋" w:hAnsi="仿宋" w:eastAsia="仿宋" w:cs="仿宋"/>
                <w:vertAlign w:val="baseline"/>
              </w:rPr>
              <w:t>2.《互联网上网服务营业场所管理条例》</w:t>
            </w:r>
          </w:p>
          <w:p>
            <w:pPr>
              <w:rPr>
                <w:rFonts w:hint="eastAsia" w:ascii="仿宋" w:hAnsi="仿宋" w:eastAsia="仿宋" w:cs="仿宋"/>
                <w:vertAlign w:val="baseline"/>
              </w:rPr>
            </w:pPr>
            <w:r>
              <w:rPr>
                <w:rFonts w:hint="eastAsia" w:ascii="仿宋" w:hAnsi="仿宋" w:eastAsia="仿宋" w:cs="仿宋"/>
                <w:vertAlign w:val="baseline"/>
              </w:rPr>
              <w:t>3.《娱乐场所管理条》</w:t>
            </w:r>
          </w:p>
          <w:p>
            <w:pPr>
              <w:rPr>
                <w:rFonts w:hint="eastAsia" w:ascii="仿宋" w:hAnsi="仿宋" w:eastAsia="仿宋" w:cs="仿宋"/>
                <w:vertAlign w:val="baseline"/>
              </w:rPr>
            </w:pPr>
            <w:r>
              <w:rPr>
                <w:rFonts w:hint="eastAsia" w:ascii="仿宋" w:hAnsi="仿宋" w:eastAsia="仿宋" w:cs="仿宋"/>
                <w:vertAlign w:val="baseline"/>
              </w:rPr>
              <w:t>4.《营业性演出管理条例》</w:t>
            </w:r>
          </w:p>
        </w:tc>
        <w:tc>
          <w:tcPr>
            <w:tcW w:w="1905" w:type="dxa"/>
            <w:vAlign w:val="center"/>
          </w:tcPr>
          <w:p>
            <w:pPr>
              <w:rPr>
                <w:rFonts w:hint="eastAsia" w:ascii="仿宋" w:hAnsi="仿宋" w:eastAsia="仿宋" w:cs="仿宋"/>
                <w:vertAlign w:val="baseline"/>
              </w:rPr>
            </w:pPr>
          </w:p>
        </w:tc>
        <w:tc>
          <w:tcPr>
            <w:tcW w:w="5220" w:type="dxa"/>
            <w:vAlign w:val="center"/>
          </w:tcPr>
          <w:p>
            <w:pPr>
              <w:rPr>
                <w:rFonts w:hint="eastAsia" w:ascii="仿宋" w:hAnsi="仿宋" w:eastAsia="仿宋" w:cs="仿宋"/>
                <w:vertAlign w:val="baseline"/>
              </w:rPr>
            </w:pPr>
            <w:r>
              <w:rPr>
                <w:rFonts w:hint="eastAsia" w:ascii="仿宋" w:hAnsi="仿宋" w:eastAsia="仿宋" w:cs="仿宋"/>
                <w:vertAlign w:val="baseline"/>
              </w:rPr>
              <w:t>1.在职责范围内依法对文化市场安全生产工作实施监督管理依法对各类文化经营场所履行安全生产经营主体责任情况进行监督检查。负责拟订文化市场有关安全生产政策，组织制定文化市场突发事件应急预案，加强文化市场应急管理。</w:t>
            </w:r>
          </w:p>
          <w:p>
            <w:pPr>
              <w:rPr>
                <w:rFonts w:hint="eastAsia" w:ascii="仿宋" w:hAnsi="仿宋" w:eastAsia="仿宋" w:cs="仿宋"/>
                <w:vertAlign w:val="baseline"/>
                <w:lang w:eastAsia="zh-CN"/>
              </w:rPr>
            </w:pPr>
            <w:r>
              <w:rPr>
                <w:rFonts w:hint="eastAsia" w:ascii="仿宋" w:hAnsi="仿宋" w:eastAsia="仿宋" w:cs="仿宋"/>
                <w:vertAlign w:val="baseline"/>
              </w:rPr>
              <w:t>2.在职责范围内依法对互联网上网服务经营场所、娱乐场所和营业性演出、文化艺术经营活动执行有关安全生产法律法规的情况进行监督检查</w:t>
            </w:r>
            <w:r>
              <w:rPr>
                <w:rFonts w:hint="eastAsia" w:ascii="仿宋" w:hAnsi="仿宋" w:eastAsia="仿宋" w:cs="仿宋"/>
                <w:vertAlign w:val="baseline"/>
                <w:lang w:eastAsia="zh-CN"/>
              </w:rPr>
              <w:t>。</w:t>
            </w: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3.负责文化系统所属单位的安全监督管理，指导图书馆、博物馆、文化馆 (站)、文物保护单位等文化单位和重大文化活动、基层群众文化活动加强安全管理，落实安全防范措施。</w:t>
            </w: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4.加强对有关安全生产法律法规和安全生产知识的宣传，配合有关部门共同开展安全生产重大宣传活动。</w:t>
            </w: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5.依法配合</w:t>
            </w:r>
            <w:bookmarkStart w:id="0" w:name="_GoBack"/>
            <w:bookmarkEnd w:id="0"/>
            <w:r>
              <w:rPr>
                <w:rFonts w:hint="eastAsia" w:ascii="仿宋" w:hAnsi="仿宋" w:eastAsia="仿宋" w:cs="仿宋"/>
                <w:vertAlign w:val="baseline"/>
                <w:lang w:val="en-US" w:eastAsia="zh-CN"/>
              </w:rPr>
              <w:t>参加有关事故的调查处理，按照职责分工对事故发生单位落实防范和整改措施的情况进行监督检查。</w:t>
            </w:r>
          </w:p>
        </w:tc>
        <w:tc>
          <w:tcPr>
            <w:tcW w:w="3289" w:type="dxa"/>
            <w:vAlign w:val="center"/>
          </w:tcPr>
          <w:p>
            <w:pPr>
              <w:rPr>
                <w:rFonts w:hint="eastAsia" w:ascii="仿宋" w:hAnsi="仿宋" w:eastAsia="仿宋" w:cs="仿宋"/>
                <w:vertAlign w:val="baseline"/>
              </w:rPr>
            </w:pPr>
            <w:r>
              <w:rPr>
                <w:rFonts w:hint="eastAsia" w:ascii="仿宋" w:hAnsi="仿宋" w:eastAsia="仿宋" w:cs="仿宋"/>
                <w:vertAlign w:val="baseline"/>
              </w:rPr>
              <w:t>1.不按规定程序或者不履行法定职责，对发现的非法违法行为未依法及时查处，导致重大安全风险或事故的。</w:t>
            </w:r>
          </w:p>
          <w:p>
            <w:pPr>
              <w:rPr>
                <w:rFonts w:hint="eastAsia" w:ascii="仿宋" w:hAnsi="仿宋" w:eastAsia="仿宋" w:cs="仿宋"/>
                <w:vertAlign w:val="baseline"/>
              </w:rPr>
            </w:pPr>
            <w:r>
              <w:rPr>
                <w:rFonts w:hint="eastAsia" w:ascii="仿宋" w:hAnsi="仿宋" w:eastAsia="仿宋" w:cs="仿宋"/>
                <w:vertAlign w:val="baseline"/>
              </w:rPr>
              <w:t>2.其他滥用职权、玩忽职守、狗私舞弊的行为。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3" w:hRule="atLeast"/>
        </w:trPr>
        <w:tc>
          <w:tcPr>
            <w:tcW w:w="1626" w:type="dxa"/>
            <w:vAlign w:val="center"/>
          </w:tcPr>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2.旅游行业安全监督管理</w:t>
            </w:r>
          </w:p>
        </w:tc>
        <w:tc>
          <w:tcPr>
            <w:tcW w:w="2700" w:type="dxa"/>
            <w:vAlign w:val="center"/>
          </w:tcPr>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1.《中华人民共和国旅游法》</w:t>
            </w: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2.《中华人民共和国安全生产法》</w:t>
            </w: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3.《旅行社条例》</w:t>
            </w:r>
          </w:p>
        </w:tc>
        <w:tc>
          <w:tcPr>
            <w:tcW w:w="1905" w:type="dxa"/>
            <w:vAlign w:val="center"/>
          </w:tcPr>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有明确管理机构的评级景区，由评级景区管理机构负责安全监管。未明确管理机构的评级景区，由评级景区主管单位负责安全监管。</w:t>
            </w:r>
          </w:p>
        </w:tc>
        <w:tc>
          <w:tcPr>
            <w:tcW w:w="5220" w:type="dxa"/>
            <w:vAlign w:val="center"/>
          </w:tcPr>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1.负责旅游安全综合协调和监督管理工作，对旅游安全实施监督管理。对旅行社、评级景区及其设备设施安全生产及应急管理工作进行监督检查，依法指导评级景区建立具备开放的安全条件。</w:t>
            </w: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2.会同有关部门对旅游安全实行综合治理，配合有关部门加强旅游客运安全管理。</w:t>
            </w: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3.指导全省旅游安全管理的宣传、教育、培训工作。</w:t>
            </w: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4.配合相关部门依法参加有关事故的调查处理，按照职责分工对事故发生单位落实防范和整改措施的情况进行督导。</w:t>
            </w: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5.负责评级景区的安全监督管理，依法对全省评级景区等在建（已建）工程建设实施安全监督管理。牵头指导相关行业领域生产安全事故的应急处置工作。</w:t>
            </w:r>
          </w:p>
          <w:p>
            <w:pPr>
              <w:rPr>
                <w:rFonts w:hint="eastAsia" w:ascii="仿宋" w:hAnsi="仿宋" w:eastAsia="仿宋" w:cs="仿宋"/>
                <w:vertAlign w:val="baseline"/>
                <w:lang w:val="en-US" w:eastAsia="zh-CN"/>
              </w:rPr>
            </w:pPr>
          </w:p>
        </w:tc>
        <w:tc>
          <w:tcPr>
            <w:tcW w:w="3289" w:type="dxa"/>
            <w:vAlign w:val="center"/>
          </w:tcPr>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违反相关法律、法规，玩忽职守，未履行安全管理职责的。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1" w:hRule="atLeast"/>
        </w:trPr>
        <w:tc>
          <w:tcPr>
            <w:tcW w:w="1626" w:type="dxa"/>
            <w:vAlign w:val="center"/>
          </w:tcPr>
          <w:p>
            <w:pP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3.新业态安全监督管理</w:t>
            </w:r>
          </w:p>
        </w:tc>
        <w:tc>
          <w:tcPr>
            <w:tcW w:w="2700" w:type="dxa"/>
            <w:vAlign w:val="center"/>
          </w:tcPr>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《中华人民共和国安全生产法》</w:t>
            </w:r>
          </w:p>
        </w:tc>
        <w:tc>
          <w:tcPr>
            <w:tcW w:w="1905" w:type="dxa"/>
            <w:vAlign w:val="center"/>
          </w:tcPr>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已明确安全监管职责的单位按照分工履行安全监管职责</w:t>
            </w:r>
          </w:p>
        </w:tc>
        <w:tc>
          <w:tcPr>
            <w:tcW w:w="5220" w:type="dxa"/>
            <w:vAlign w:val="center"/>
          </w:tcPr>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会同有关部门对旅游安全实行综合治理，配合有关部门加强旅游客运安全管理。指导地方对旅行社企业安全生产工作进行监督检查，推动协调相关部门加强对自助游、自驾游、剧本娱乐场所等新兴业态的安全监管，依法指导景区建立具备开放的安全条件。配合有关部门组织开展景区内游乐园安全隐患排查整治。</w:t>
            </w:r>
          </w:p>
        </w:tc>
        <w:tc>
          <w:tcPr>
            <w:tcW w:w="3289" w:type="dxa"/>
            <w:vAlign w:val="center"/>
          </w:tcPr>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未按职责分工，履行日常监督管理职责，导致发生生产安全事故的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7" w:hRule="atLeast"/>
        </w:trPr>
        <w:tc>
          <w:tcPr>
            <w:tcW w:w="1626" w:type="dxa"/>
            <w:vAlign w:val="center"/>
          </w:tcPr>
          <w:p>
            <w:pPr>
              <w:rPr>
                <w:rFonts w:hint="eastAsia" w:ascii="仿宋" w:hAnsi="仿宋" w:eastAsia="仿宋" w:cs="仿宋"/>
                <w:sz w:val="30"/>
                <w:szCs w:val="30"/>
                <w:vertAlign w:val="baseline"/>
              </w:rPr>
            </w:pPr>
          </w:p>
        </w:tc>
        <w:tc>
          <w:tcPr>
            <w:tcW w:w="2700" w:type="dxa"/>
            <w:vAlign w:val="center"/>
          </w:tcPr>
          <w:p>
            <w:pPr>
              <w:rPr>
                <w:rFonts w:hint="eastAsia" w:ascii="仿宋" w:hAnsi="仿宋" w:eastAsia="仿宋" w:cs="仿宋"/>
                <w:sz w:val="30"/>
                <w:szCs w:val="30"/>
                <w:vertAlign w:val="baseline"/>
              </w:rPr>
            </w:pPr>
          </w:p>
        </w:tc>
        <w:tc>
          <w:tcPr>
            <w:tcW w:w="1905" w:type="dxa"/>
            <w:vAlign w:val="center"/>
          </w:tcPr>
          <w:p>
            <w:pPr>
              <w:rPr>
                <w:rFonts w:hint="eastAsia" w:ascii="仿宋" w:hAnsi="仿宋" w:eastAsia="仿宋" w:cs="仿宋"/>
                <w:sz w:val="30"/>
                <w:szCs w:val="30"/>
                <w:vertAlign w:val="baseline"/>
              </w:rPr>
            </w:pPr>
          </w:p>
        </w:tc>
        <w:tc>
          <w:tcPr>
            <w:tcW w:w="5220" w:type="dxa"/>
            <w:vAlign w:val="center"/>
          </w:tcPr>
          <w:p>
            <w:pPr>
              <w:rPr>
                <w:rFonts w:hint="eastAsia" w:ascii="仿宋" w:hAnsi="仿宋" w:eastAsia="仿宋" w:cs="仿宋"/>
                <w:sz w:val="30"/>
                <w:szCs w:val="30"/>
                <w:vertAlign w:val="baseline"/>
              </w:rPr>
            </w:pPr>
          </w:p>
        </w:tc>
        <w:tc>
          <w:tcPr>
            <w:tcW w:w="3289" w:type="dxa"/>
            <w:vAlign w:val="center"/>
          </w:tcPr>
          <w:p>
            <w:pPr>
              <w:rPr>
                <w:rFonts w:hint="eastAsia" w:ascii="仿宋" w:hAnsi="仿宋" w:eastAsia="仿宋" w:cs="仿宋"/>
                <w:sz w:val="30"/>
                <w:szCs w:val="30"/>
                <w:vertAlign w:val="baseline"/>
              </w:rPr>
            </w:pPr>
          </w:p>
        </w:tc>
      </w:tr>
    </w:tbl>
    <w:p>
      <w:pPr>
        <w:rPr>
          <w:rFonts w:hint="default" w:eastAsiaTheme="minorEastAsia"/>
          <w:lang w:val="en-US" w:eastAsia="zh-CN"/>
        </w:rPr>
      </w:pPr>
    </w:p>
    <w:sectPr>
      <w:pgSz w:w="16838" w:h="11906" w:orient="landscape"/>
      <w:pgMar w:top="1417" w:right="1134" w:bottom="1134" w:left="1134" w:header="851" w:footer="992"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54BCB"/>
    <w:rsid w:val="23A54BCB"/>
    <w:rsid w:val="445F764E"/>
    <w:rsid w:val="63DA2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2023-03-17T02:26:00Z</dcterms:created>
  <dc:creator>Storm.C</dc:creator>
  <cp:lastModifiedBy>lenovo</cp:lastModifiedBy>
  <cp:lastPrinted>2023-03-17T02:50:48Z</cp:lastPrinted>
  <dcterms:modified xsi:type="dcterms:W3CDTF">2023-03-17T02:51:56Z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