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28"/>
          <w:szCs w:val="28"/>
          <w:shd w:val="clear" w:color="080000" w:fill="FFFFFF"/>
          <w:lang w:val="en-US" w:eastAsia="zh-CN"/>
        </w:rPr>
        <w:t>附件1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b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2021年中国秦腔优秀剧目会演推荐作品汇总表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推荐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：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推荐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单位联系人及电话：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15047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895"/>
        <w:gridCol w:w="1680"/>
        <w:gridCol w:w="1920"/>
        <w:gridCol w:w="1186"/>
        <w:gridCol w:w="1128"/>
        <w:gridCol w:w="2321"/>
        <w:gridCol w:w="4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作品种类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演出单位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演出时长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首演时间</w:t>
            </w: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主创人员简介</w:t>
            </w: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（含获奖情况、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演出情况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vertAlign w:val="baseline"/>
                <w:lang w:val="en-US" w:eastAsia="zh-CN"/>
              </w:rPr>
              <w:t>剧情介绍等）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4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楷体"/>
                <w:b w:val="0"/>
                <w:i w:val="0"/>
                <w:caps w:val="0"/>
                <w:color w:val="auto"/>
                <w:spacing w:val="0"/>
                <w:kern w:val="0"/>
                <w:sz w:val="32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FE508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2021-03-10T01:50:12Z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